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108" w:rsidRPr="00C12DCC" w:rsidRDefault="00C12DCC" w:rsidP="00C12D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2DCC">
        <w:rPr>
          <w:rFonts w:ascii="Times New Roman" w:hAnsi="Times New Roman" w:cs="Times New Roman"/>
          <w:b/>
          <w:sz w:val="28"/>
          <w:szCs w:val="28"/>
        </w:rPr>
        <w:t>5 лекция. Выбор способа разработки месторождения.</w:t>
      </w:r>
    </w:p>
    <w:p w:rsidR="00C12DCC" w:rsidRDefault="00C12DCC" w:rsidP="00C12D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19" w:rsidRPr="00E27E19" w:rsidRDefault="00E27E19" w:rsidP="00E27E1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Промышленное освоение любого месторождения требует решения целого ряда технико-экономических вопросов, среди которых первым является вопрос выбора способа разработки месторождения. </w:t>
      </w:r>
    </w:p>
    <w:p w:rsidR="000D6E45" w:rsidRDefault="000D6E45" w:rsidP="00E27E1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E4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месторождения - совокупность работ по вскрытию и подготовке месторождения, очистной выемке полезного ископаемого и транспортировке его на поверхность, вентиляции, водоотливу и пр.</w:t>
      </w:r>
    </w:p>
    <w:p w:rsidR="00E27E19" w:rsidRPr="00E27E19" w:rsidRDefault="00E27E19" w:rsidP="00E27E1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Существуют подземный, открытый и комбинированный способы разработки месторождений твердых полезных ископаемых. Применение того или иного способа разработки зависит исключительно от геологических условий залегания месторождения, в том числе от его глубины. Определим максимальную глубину разработки месторождения открытым способом, если он окажется меньше, чес глубина залегания месторождения, следовательно, это месторождение целесообразно разрабатывать подземным способом. </w:t>
      </w:r>
    </w:p>
    <w:p w:rsidR="00E27E19" w:rsidRPr="00E27E19" w:rsidRDefault="00E27E19" w:rsidP="00E27E1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определения максимальной глубины разработки месторождения открытым способом воспользуемся формулой Б.П. Боголюбова</w:t>
      </w:r>
    </w:p>
    <w:p w:rsidR="00E27E19" w:rsidRPr="00E27E19" w:rsidRDefault="00E27E19" w:rsidP="00E27E1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7E19" w:rsidRPr="00E27E19" w:rsidRDefault="00E27E19" w:rsidP="00E27E1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6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55pt;height:33.05pt" o:ole="">
            <v:imagedata r:id="rId4" o:title=""/>
          </v:shape>
          <o:OLEObject Type="Embed" ProgID="Equation.3" ShapeID="_x0000_i1025" DrawAspect="Content" ObjectID="_1617440653" r:id="rId5"/>
        </w:objec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>(2.1)</w:t>
      </w:r>
    </w:p>
    <w:p w:rsidR="00E27E19" w:rsidRPr="00E27E19" w:rsidRDefault="00E27E19" w:rsidP="00E27E19">
      <w:pPr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E27E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геологический коэффициент вскрыши;</w:t>
      </w:r>
    </w:p>
    <w:p w:rsidR="00E27E19" w:rsidRPr="00E27E19" w:rsidRDefault="00E27E19" w:rsidP="00E27E1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E27E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горизонтальная мощность рудного тела, м;</w:t>
      </w:r>
    </w:p>
    <w:p w:rsidR="00E27E19" w:rsidRPr="00E27E19" w:rsidRDefault="00E27E19" w:rsidP="00E27E1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    </w:t>
      </w:r>
      <w:r w:rsidRPr="00E27E1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320">
          <v:shape id="_x0000_i1026" type="#_x0000_t75" style="width:12.25pt;height:16pt" o:ole="">
            <v:imagedata r:id="rId6" o:title=""/>
          </v:shape>
          <o:OLEObject Type="Embed" ProgID="Equation.3" ShapeID="_x0000_i1026" DrawAspect="Content" ObjectID="_1617440654" r:id="rId7"/>
        </w:objec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γ – средние углы откоса бортов карьера, соответственно в висячем и в лежачем боках рудного тела.</w:t>
      </w:r>
    </w:p>
    <w:p w:rsidR="00E27E19" w:rsidRPr="00E27E19" w:rsidRDefault="00E27E19" w:rsidP="00E27E1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Выбрать способ разработки для следующих исходных данных:</w:t>
      </w:r>
    </w:p>
    <w:p w:rsidR="00E27E19" w:rsidRPr="00E27E19" w:rsidRDefault="00E27E19" w:rsidP="00E27E19">
      <w:pPr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геологический коэффициент вскрыши </w:t>
      </w:r>
      <w:r w:rsidRPr="00E27E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3,7; горизонтальная мощность рудного тела </w:t>
      </w:r>
      <w:r w:rsidRPr="00E27E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40 м; средние углы откоса бортов карьера, соответственно в висячем и в лежачем боках рудного тела,  </w:t>
      </w:r>
      <w:r w:rsidRPr="00E27E1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320">
          <v:shape id="_x0000_i1027" type="#_x0000_t75" style="width:12.25pt;height:16pt" o:ole="">
            <v:imagedata r:id="rId6" o:title=""/>
          </v:shape>
          <o:OLEObject Type="Embed" ProgID="Equation.3" ShapeID="_x0000_i1027" DrawAspect="Content" ObjectID="_1617440655" r:id="rId8"/>
        </w:objec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>=45</w:t>
      </w:r>
      <w:r w:rsidRPr="00E27E1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>, γ=37</w:t>
      </w:r>
      <w:r w:rsidRPr="00E27E1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</w:p>
    <w:p w:rsidR="00E27E19" w:rsidRPr="00E27E19" w:rsidRDefault="00E27E19" w:rsidP="00E27E1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глубина разработки месторождения открытым способом:</w:t>
      </w:r>
    </w:p>
    <w:p w:rsidR="00E27E19" w:rsidRPr="00E27E19" w:rsidRDefault="00E27E19" w:rsidP="00E27E19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600" w:dyaOrig="660">
          <v:shape id="_x0000_i1028" type="#_x0000_t75" style="width:80.55pt;height:33.05pt" o:ole="">
            <v:imagedata r:id="rId4" o:title=""/>
          </v:shape>
          <o:OLEObject Type="Embed" ProgID="Equation.3" ShapeID="_x0000_i1028" DrawAspect="Content" ObjectID="_1617440656" r:id="rId9"/>
        </w:objec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27E1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60" w:dyaOrig="660">
          <v:shape id="_x0000_i1029" type="#_x0000_t75" style="width:41.6pt;height:36.25pt" o:ole="">
            <v:imagedata r:id="rId10" o:title=""/>
          </v:shape>
          <o:OLEObject Type="Embed" ProgID="Equation.3" ShapeID="_x0000_i1029" DrawAspect="Content" ObjectID="_1617440657" r:id="rId11"/>
        </w:objec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>=64 м,                                               (2.1)</w:t>
      </w:r>
    </w:p>
    <w:p w:rsidR="00E27E19" w:rsidRPr="00E27E19" w:rsidRDefault="00E27E19" w:rsidP="00E27E19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7E19" w:rsidRPr="00E27E19" w:rsidRDefault="00E27E19" w:rsidP="00E27E1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Максимальная глубина разработки открытым способом составила  </w:t>
      </w:r>
      <w:r w:rsidRPr="00E27E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E27E19">
        <w:rPr>
          <w:rFonts w:ascii="Times New Roman" w:eastAsia="Times New Roman" w:hAnsi="Times New Roman" w:cs="Times New Roman"/>
          <w:sz w:val="28"/>
          <w:szCs w:val="28"/>
          <w:lang w:eastAsia="ru-RU"/>
        </w:rPr>
        <w:t>=64м. Так как глубина залегания месторождения составляет 500 м, принимается подземный способ разработки месторождения.</w:t>
      </w:r>
    </w:p>
    <w:p w:rsidR="00E27E19" w:rsidRPr="00E27E19" w:rsidRDefault="00E27E19" w:rsidP="00E27E19">
      <w:pPr>
        <w:spacing w:after="0" w:line="29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1835"/>
        <w:gridCol w:w="1847"/>
        <w:gridCol w:w="1788"/>
        <w:gridCol w:w="1818"/>
      </w:tblGrid>
      <w:tr w:rsidR="00E27E19" w:rsidRPr="00E27E19" w:rsidTr="00280FF8">
        <w:tc>
          <w:tcPr>
            <w:tcW w:w="2090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залегания Н, м</w:t>
            </w:r>
          </w:p>
        </w:tc>
        <w:tc>
          <w:tcPr>
            <w:tcW w:w="188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</w:t>
            </w:r>
          </w:p>
        </w:tc>
        <w:tc>
          <w:tcPr>
            <w:tcW w:w="1896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40" w:dyaOrig="320">
                <v:shape id="_x0000_i1030" type="#_x0000_t75" style="width:12.25pt;height:16pt" o:ole="">
                  <v:imagedata r:id="rId6" o:title=""/>
                </v:shape>
                <o:OLEObject Type="Embed" ProgID="Equation.3" ShapeID="_x0000_i1030" DrawAspect="Content" ObjectID="_1617440658" r:id="rId12"/>
              </w:object>
            </w:r>
          </w:p>
        </w:tc>
        <w:tc>
          <w:tcPr>
            <w:tcW w:w="1834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</w:t>
            </w:r>
          </w:p>
        </w:tc>
        <w:tc>
          <w:tcPr>
            <w:tcW w:w="186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n</w:t>
            </w:r>
          </w:p>
        </w:tc>
      </w:tr>
      <w:tr w:rsidR="00E27E19" w:rsidRPr="00E27E19" w:rsidTr="00280FF8">
        <w:tc>
          <w:tcPr>
            <w:tcW w:w="2090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88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96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34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6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</w:tr>
      <w:tr w:rsidR="00E27E19" w:rsidRPr="00E27E19" w:rsidTr="00280FF8">
        <w:tc>
          <w:tcPr>
            <w:tcW w:w="2090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88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96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34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6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</w:tr>
      <w:tr w:rsidR="00E27E19" w:rsidRPr="00E27E19" w:rsidTr="00280FF8">
        <w:tc>
          <w:tcPr>
            <w:tcW w:w="2090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8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96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34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6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</w:tr>
      <w:tr w:rsidR="00E27E19" w:rsidRPr="00E27E19" w:rsidTr="00280FF8">
        <w:tc>
          <w:tcPr>
            <w:tcW w:w="2090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88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96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34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6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  <w:tr w:rsidR="00E27E19" w:rsidRPr="00E27E19" w:rsidTr="00280FF8">
        <w:tc>
          <w:tcPr>
            <w:tcW w:w="2090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88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96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34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6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</w:tr>
      <w:tr w:rsidR="00E27E19" w:rsidRPr="00E27E19" w:rsidTr="00280FF8">
        <w:tc>
          <w:tcPr>
            <w:tcW w:w="2090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88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96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34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6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</w:tr>
      <w:tr w:rsidR="00E27E19" w:rsidRPr="00E27E19" w:rsidTr="00280FF8">
        <w:tc>
          <w:tcPr>
            <w:tcW w:w="2090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88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96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34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6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</w:tr>
      <w:tr w:rsidR="00E27E19" w:rsidRPr="00E27E19" w:rsidTr="00280FF8">
        <w:tc>
          <w:tcPr>
            <w:tcW w:w="2090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170</w:t>
            </w:r>
          </w:p>
        </w:tc>
        <w:tc>
          <w:tcPr>
            <w:tcW w:w="188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96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34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Pr="00E27E1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1868" w:type="dxa"/>
            <w:shd w:val="clear" w:color="auto" w:fill="auto"/>
          </w:tcPr>
          <w:p w:rsidR="00E27E19" w:rsidRPr="00E27E19" w:rsidRDefault="00E27E19" w:rsidP="00E27E19">
            <w:pPr>
              <w:spacing w:after="0" w:line="29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</w:tr>
    </w:tbl>
    <w:p w:rsidR="00E27E19" w:rsidRPr="00E27E19" w:rsidRDefault="00E27E19" w:rsidP="00E27E19">
      <w:pPr>
        <w:spacing w:after="0" w:line="29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Около 1/3 руд добывается подземным способом, отличительной чертой которого является необходимость присутствия людей в подземных горных выработках.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Работы, выполняемые на месторождении и связанные с извлечением полезного ископаемого из недр, называются разработкой месторождения. Разработка месторождения состоит из трех основных стадий – вскрытия, подготовки рудной залежи и извлечения руды.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Технология разработки рудных месторождений существенно отличается от разработки угольных и сланцевых месторождений из-за необходимости применения взрывной отбойки, поэтому вскрытие и подготовка рудных месторождений имеют свои особенности.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Извлекаемые запасы вместе с примешанной породой называют рудной массой или добытой рудой.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При проходке горных выработок вне рудной залежи извлекаемые породы выдаются на поверхность отдельно от рудной массы. Совокупность выдаваемых на поверхность рудной массы и пород, извлеченных при проходке горных выработок, называют горной массой.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Эффективная разработка месторождения возможна при условии согласования во времени трех стадий подземной разработки: вскрытия, подготовки и извлечения руды.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Вскрытие – это проведение вскрывающих выработок, обеспечивающих доступ к месторождению с поверхности. Подготовка месторождения состоит из двух этапов: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а) горно-подготовительных работ – проведения выработок с целью разделения вскрытой части месторождения на добычные участки или блоки;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б) нарезных работ – проведения выработок, необходимых для извлечения полезного ископаемого, на этих участках или в блоках.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Извлечение руды – это выполнение комплекса производственных процессов по добыче руды от ее отбойки до выдачи на поверхность. При строительстве рудника все стадии осуществляются последовательно, в процессе его эксплуатации – параллельно.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В соответствии со стадиями разработки выделяют следующие виды промышленных запасов: вскрытые, подготовленные и готовые к выемке.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Вскрытые запасы – это запасы руды в разрабатываемом месторождении или его части, находящиеся выше горизонта их подсечения вскрывающими выработками.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Подготовленные запасы – часть вскрытых запасов, в которой пройдены все подготовительные выработки.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Готовые к выемке запасы – это часть подготовленных запасов, в которой пройдены все нарезные выработки.</w:t>
      </w:r>
    </w:p>
    <w:p w:rsidR="00102A6A" w:rsidRPr="00FD03F5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 xml:space="preserve">Между указанными видами запасов должно соблюдаться определенное соотношение: вскрытых запасов должно быть больше, чем подготовленных, а подготовленных – больше, чем готовых к выемке. Для каждого рудника </w:t>
      </w:r>
      <w:r w:rsidRPr="00FD03F5">
        <w:rPr>
          <w:rFonts w:ascii="Times New Roman" w:hAnsi="Times New Roman" w:cs="Times New Roman"/>
          <w:sz w:val="28"/>
          <w:szCs w:val="28"/>
        </w:rPr>
        <w:lastRenderedPageBreak/>
        <w:t>устанавливаются нормативы (минимальное количество) каждого вида запасов на любой момент работы рудника. Единица измерения нормативов – месяцы (для вскрытых запасов – годы) непрерывной работы рудника на этих запасах с заданной производительностью.</w:t>
      </w:r>
    </w:p>
    <w:p w:rsidR="00102A6A" w:rsidRDefault="00102A6A" w:rsidP="00102A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3F5">
        <w:rPr>
          <w:rFonts w:ascii="Times New Roman" w:hAnsi="Times New Roman" w:cs="Times New Roman"/>
          <w:sz w:val="28"/>
          <w:szCs w:val="28"/>
        </w:rPr>
        <w:t>Обеспеченность рудника вскрытыми запасами определяется исходя из времени, необходимого для вскрытия следующего участка или горизонта месторождения. Ориентировочно минимально допустимые нормативы обеспеченности в зависимости от технологии разработки месторождения составляют: для подготовленных запасов от 6 до 20 месяцев, для готовых к выемке – от 2 до 8 месяцев [7].</w:t>
      </w:r>
    </w:p>
    <w:p w:rsidR="00C12DCC" w:rsidRPr="00C12DCC" w:rsidRDefault="00C12DCC" w:rsidP="00C12D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12DCC" w:rsidRPr="00C12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DCC"/>
    <w:rsid w:val="000D6E45"/>
    <w:rsid w:val="00102A6A"/>
    <w:rsid w:val="00C12DCC"/>
    <w:rsid w:val="00E27E19"/>
    <w:rsid w:val="00E8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B57AA4-F114-4D9A-A375-4EB629A1A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5.bin"/><Relationship Id="rId5" Type="http://schemas.openxmlformats.org/officeDocument/2006/relationships/oleObject" Target="embeddings/oleObject1.bin"/><Relationship Id="rId10" Type="http://schemas.openxmlformats.org/officeDocument/2006/relationships/image" Target="media/image3.wmf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773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2019-04-21T16:28:00Z</dcterms:created>
  <dcterms:modified xsi:type="dcterms:W3CDTF">2019-04-22T06:17:00Z</dcterms:modified>
</cp:coreProperties>
</file>